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C4EF9" w:rsidP="00FC4EF9">
      <w:pPr>
        <w:spacing w:line="22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C4EF9">
        <w:rPr>
          <w:rFonts w:asciiTheme="majorEastAsia" w:eastAsiaTheme="majorEastAsia" w:hAnsiTheme="majorEastAsia" w:hint="eastAsia"/>
          <w:sz w:val="28"/>
          <w:szCs w:val="28"/>
        </w:rPr>
        <w:t>横向到账奖励提取流程</w:t>
      </w:r>
    </w:p>
    <w:p w:rsidR="00FC4EF9" w:rsidRDefault="00FC4EF9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横向经费到账后，依据《郑州轻工业学院横向项目经费管理办法》，学校按到账经费的20%</w:t>
      </w:r>
      <w:r w:rsidR="00E81453">
        <w:rPr>
          <w:rFonts w:asciiTheme="majorEastAsia" w:eastAsiaTheme="majorEastAsia" w:hAnsiTheme="majorEastAsia" w:hint="eastAsia"/>
          <w:sz w:val="28"/>
          <w:szCs w:val="28"/>
        </w:rPr>
        <w:t>（2019年11月后到账按13%奖励）</w:t>
      </w:r>
      <w:r>
        <w:rPr>
          <w:rFonts w:asciiTheme="majorEastAsia" w:eastAsiaTheme="majorEastAsia" w:hAnsiTheme="majorEastAsia" w:hint="eastAsia"/>
          <w:sz w:val="28"/>
          <w:szCs w:val="28"/>
        </w:rPr>
        <w:t>予以奖励，项目负责人选择提取的方式支出到账奖励，具体流程如下：</w:t>
      </w:r>
    </w:p>
    <w:p w:rsidR="00C73EA0" w:rsidRDefault="00ED35A6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320568">
        <w:rPr>
          <w:rFonts w:asciiTheme="majorEastAsia" w:eastAsiaTheme="majorEastAsia" w:hAnsiTheme="majorEastAsia" w:hint="eastAsia"/>
          <w:sz w:val="28"/>
          <w:szCs w:val="28"/>
        </w:rPr>
        <w:t>项目负责人录入</w:t>
      </w:r>
    </w:p>
    <w:p w:rsidR="00FC4EF9" w:rsidRDefault="00ED35A6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项目负责人登录科研管理系统，在系统中依次点击“经费管理”-&gt;到账奖励管理-&gt;到账奖励录入，点击“增加”按钮，在弹出的界面中双击项目名称栏，选择要提取的项目名称，</w:t>
      </w:r>
      <w:r w:rsidR="00C73EA0">
        <w:rPr>
          <w:rFonts w:asciiTheme="majorEastAsia" w:eastAsiaTheme="majorEastAsia" w:hAnsiTheme="majorEastAsia" w:hint="eastAsia"/>
          <w:sz w:val="28"/>
          <w:szCs w:val="28"/>
        </w:rPr>
        <w:t>系统自动将项目信息、到账情况及可提取的奖励额度填充完整，项目负责人可点击“奖励人员列表”后面的“添加”按钮增加奖励发放人员（</w:t>
      </w:r>
      <w:r w:rsidR="00C73EA0" w:rsidRPr="00691A4A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奖励仅能发放给已在系统中备案的项目组成员老师</w:t>
      </w:r>
      <w:r w:rsidR="00C73EA0">
        <w:rPr>
          <w:rFonts w:asciiTheme="majorEastAsia" w:eastAsiaTheme="majorEastAsia" w:hAnsiTheme="majorEastAsia" w:hint="eastAsia"/>
          <w:sz w:val="28"/>
          <w:szCs w:val="28"/>
        </w:rPr>
        <w:t>），多次点击“添加”按钮可一次发放给多个项目组成员老师，奖励成员录入完成后，点击“提交”按钮。</w:t>
      </w:r>
    </w:p>
    <w:p w:rsidR="00C73EA0" w:rsidRDefault="00C73EA0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320568">
        <w:rPr>
          <w:rFonts w:asciiTheme="majorEastAsia" w:eastAsiaTheme="majorEastAsia" w:hAnsiTheme="majorEastAsia" w:hint="eastAsia"/>
          <w:sz w:val="28"/>
          <w:szCs w:val="28"/>
        </w:rPr>
        <w:t>、科研院长审核</w:t>
      </w:r>
    </w:p>
    <w:p w:rsidR="00C73EA0" w:rsidRDefault="00E04A9B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负责人提交到账奖励提取申请后，科研院长（非二级学院的部门科研院长角色分配给了部门负责人）进入科研管理系统，点击右上角“切换角色”按钮切换至管理员角色后，在经费管理-&gt;到账奖励管理-&gt;院系审核中对该申请进行审核，审核通过后，系统将自动提交至科技处经费管理科审核。</w:t>
      </w:r>
    </w:p>
    <w:p w:rsidR="00E04A9B" w:rsidRDefault="00E04A9B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3、科技处经费管理科审核</w:t>
      </w:r>
    </w:p>
    <w:p w:rsidR="00E04A9B" w:rsidRDefault="00E04A9B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科研院长审核后，科技处经费管理科对到账奖励申请进行审核，审核通过后，自动生成“到账</w:t>
      </w:r>
      <w:r w:rsidR="00CA6D11">
        <w:rPr>
          <w:rFonts w:asciiTheme="majorEastAsia" w:eastAsiaTheme="majorEastAsia" w:hAnsiTheme="majorEastAsia" w:hint="eastAsia"/>
          <w:sz w:val="28"/>
          <w:szCs w:val="28"/>
        </w:rPr>
        <w:t>奖励</w:t>
      </w:r>
      <w:r>
        <w:rPr>
          <w:rFonts w:asciiTheme="majorEastAsia" w:eastAsiaTheme="majorEastAsia" w:hAnsiTheme="majorEastAsia" w:hint="eastAsia"/>
          <w:sz w:val="28"/>
          <w:szCs w:val="28"/>
        </w:rPr>
        <w:t>发放审批表”，项目负责人可在科研系统中点击“打印审批表”</w:t>
      </w:r>
      <w:r w:rsidR="00CA6D1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A6D11" w:rsidRDefault="00CA6D11" w:rsidP="00FC4EF9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4、到账奖励支出</w:t>
      </w:r>
    </w:p>
    <w:p w:rsidR="00CA6D11" w:rsidRDefault="00CA6D11" w:rsidP="00CA6D11">
      <w:pPr>
        <w:widowControl w:val="0"/>
        <w:autoSpaceDE w:val="0"/>
        <w:autoSpaceDN w:val="0"/>
        <w:snapToGrid/>
        <w:spacing w:after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项目负责人打印到账奖励发放审批表，在该表的“项目负责人（签字）”栏亲笔签名，在“</w:t>
      </w:r>
      <w:r w:rsidRPr="006377E7">
        <w:rPr>
          <w:rFonts w:asciiTheme="majorEastAsia" w:eastAsiaTheme="majorEastAsia" w:hAnsiTheme="majorEastAsia" w:hint="eastAsia"/>
          <w:sz w:val="28"/>
          <w:szCs w:val="28"/>
        </w:rPr>
        <w:t>项目校内依托单位意见</w:t>
      </w:r>
      <w:r>
        <w:rPr>
          <w:rFonts w:asciiTheme="majorEastAsia" w:eastAsiaTheme="majorEastAsia" w:hAnsiTheme="majorEastAsia" w:hint="eastAsia"/>
          <w:sz w:val="28"/>
          <w:szCs w:val="28"/>
        </w:rPr>
        <w:t>”栏</w:t>
      </w:r>
      <w:r w:rsidR="00C05B3F">
        <w:rPr>
          <w:rFonts w:asciiTheme="majorEastAsia" w:eastAsiaTheme="majorEastAsia" w:hAnsiTheme="majorEastAsia" w:hint="eastAsia"/>
          <w:sz w:val="28"/>
          <w:szCs w:val="28"/>
        </w:rPr>
        <w:t>科研院长签字并</w:t>
      </w:r>
      <w:r>
        <w:rPr>
          <w:rFonts w:asciiTheme="majorEastAsia" w:eastAsiaTheme="majorEastAsia" w:hAnsiTheme="majorEastAsia" w:hint="eastAsia"/>
          <w:sz w:val="28"/>
          <w:szCs w:val="28"/>
        </w:rPr>
        <w:t>加盖学院公章。联系科技处经费管理科进行财务支出授权，具体授权的项目名称为“到账奖励专项”，一次授权后，后续不用再次授权。项目负责人按照财务要求，生成报账单（报账科目选择</w:t>
      </w:r>
      <w:r w:rsidR="00C05B3F">
        <w:rPr>
          <w:rFonts w:asciiTheme="majorEastAsia" w:eastAsiaTheme="majorEastAsia" w:hAnsiTheme="majorEastAsia" w:hint="eastAsia"/>
          <w:sz w:val="28"/>
          <w:szCs w:val="28"/>
        </w:rPr>
        <w:t>教学科研奖科目</w:t>
      </w:r>
      <w:r>
        <w:rPr>
          <w:rFonts w:asciiTheme="majorEastAsia" w:eastAsiaTheme="majorEastAsia" w:hAnsiTheme="majorEastAsia" w:hint="eastAsia"/>
          <w:sz w:val="28"/>
          <w:szCs w:val="28"/>
        </w:rPr>
        <w:t>），报账单上报账员和主管科研院长签字，经科技处签字审核后，送财务报账支出。</w:t>
      </w:r>
    </w:p>
    <w:p w:rsidR="00852C35" w:rsidRDefault="00852C35" w:rsidP="00852C35">
      <w:pPr>
        <w:widowControl w:val="0"/>
        <w:autoSpaceDE w:val="0"/>
        <w:autoSpaceDN w:val="0"/>
        <w:snapToGrid/>
        <w:spacing w:after="0"/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852C35">
        <w:rPr>
          <w:rFonts w:asciiTheme="majorEastAsia" w:eastAsiaTheme="majorEastAsia" w:hAnsiTheme="majorEastAsia" w:hint="eastAsia"/>
          <w:color w:val="FF0000"/>
          <w:sz w:val="28"/>
          <w:szCs w:val="28"/>
        </w:rPr>
        <w:t>学校奖励选择发票报的话，财务处会对应立一个配套项目，配套项目除劳务费和绩效费外均可列支。</w:t>
      </w:r>
    </w:p>
    <w:p w:rsidR="006A2FC4" w:rsidRDefault="006A2FC4" w:rsidP="00C05B3F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lastRenderedPageBreak/>
        <w:t>国家税务总局关于全面实施新个人所得税法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若干征管衔接问题的公告</w:t>
      </w:r>
      <w:r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（摘选）</w:t>
      </w:r>
    </w:p>
    <w:p w:rsidR="006A2FC4" w:rsidRDefault="006A2FC4" w:rsidP="00C05B3F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国家税务总局公告2018年第56号</w:t>
      </w:r>
    </w:p>
    <w:p w:rsidR="00785CE9" w:rsidRPr="006A2FC4" w:rsidRDefault="00785CE9" w:rsidP="00C05B3F">
      <w:pPr>
        <w:shd w:val="clear" w:color="auto" w:fill="FFFFFF"/>
        <w:spacing w:beforeLines="50" w:afterLines="100" w:line="360" w:lineRule="atLeast"/>
        <w:jc w:val="center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原文链接：</w:t>
      </w:r>
      <w:r w:rsidRPr="00785CE9">
        <w:rPr>
          <w:rFonts w:asciiTheme="majorEastAsia" w:eastAsiaTheme="majorEastAsia" w:hAnsiTheme="majorEastAsia" w:cs="微软雅黑"/>
          <w:color w:val="000000"/>
          <w:sz w:val="28"/>
          <w:szCs w:val="28"/>
        </w:rPr>
        <w:t>http://www.gov.cn/xinwen/2018-12/20/content_5350582.htm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为贯彻落实新修改的《中华人民共和国个人所得税法》（以下简称“新个人所得税法”），现就全面实施新个人所得税法后扣缴义务人对居民个人工资、薪金所得，</w:t>
      </w:r>
      <w:r w:rsidRPr="006A2FC4">
        <w:rPr>
          <w:rFonts w:asciiTheme="majorEastAsia" w:eastAsiaTheme="majorEastAsia" w:hAnsiTheme="majorEastAsia" w:cs="微软雅黑" w:hint="eastAsia"/>
          <w:color w:val="FF0000"/>
          <w:sz w:val="28"/>
          <w:szCs w:val="28"/>
        </w:rPr>
        <w:t>劳务报酬所得</w:t>
      </w: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，稿酬所得，特许权使用费所得预扣预缴个人所得税的计算方法，对非居民个人上述四项所得扣缴个人所得税的计算方法，公告如下：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一、居民个人预扣预缴方法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扣缴义务人向居民个人支付工资、薪金所得，劳务报酬所得，稿酬所得，特许权使用费所得时，按以下方法预扣预缴个人所得税，并向主管税务机关报送《个人所得税扣缴申报表》（见附件1）。年度预扣预缴税额与年度应纳税额不一致的，由居民个人于次年3月1日至6月30日向主管税务机关办理综合所得年度汇算清缴，税款多退少补。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（二）扣缴义务人向居民个人支付</w:t>
      </w:r>
      <w:r w:rsidRPr="006A2FC4">
        <w:rPr>
          <w:rFonts w:asciiTheme="majorEastAsia" w:eastAsiaTheme="majorEastAsia" w:hAnsiTheme="majorEastAsia" w:cs="微软雅黑" w:hint="eastAsia"/>
          <w:color w:val="FF0000"/>
          <w:sz w:val="28"/>
          <w:szCs w:val="28"/>
        </w:rPr>
        <w:t>劳务报酬所得</w:t>
      </w: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、稿酬所得、特许权使用费所得，按次或者按月预扣预缴个人所得税。具体预扣预缴方法如下：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劳务报酬所得、稿酬所得、特许权使用费所得以收入减除费用后的余额为收入额。其中，稿酬所得的收入额减按百分之七十计算。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lastRenderedPageBreak/>
        <w:t>减除费用：劳务报酬所得、稿酬所得、特许权使用费所得每次收入不超过四千元的，减除费用按八百元计算；每次收入四千元以上的，减除费用按百分之二十计算。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应纳税所得额：劳务报酬所得、稿酬所得、特许权使用费所得，以每次收入额为预扣预缴应纳税所得额。劳务报酬所得适用百分之二十至百分之四十的超额累进预扣率（见附件2《个人所得税预扣率表二》），稿酬所得、特许权使用费所得适用百分之二十的比例预扣率。</w:t>
      </w:r>
    </w:p>
    <w:p w:rsidR="006A2FC4" w:rsidRPr="006A2FC4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劳务报酬所得应预扣预缴税额=预扣预缴应纳税所得额×预扣率-速算扣除数</w:t>
      </w:r>
    </w:p>
    <w:p w:rsidR="00124693" w:rsidRDefault="006A2FC4" w:rsidP="00C05B3F">
      <w:pPr>
        <w:shd w:val="clear" w:color="auto" w:fill="FFFFFF"/>
        <w:spacing w:beforeLines="50" w:afterLines="100" w:line="360" w:lineRule="auto"/>
        <w:ind w:firstLineChars="200" w:firstLine="560"/>
        <w:rPr>
          <w:rFonts w:asciiTheme="majorEastAsia" w:eastAsiaTheme="majorEastAsia" w:hAnsiTheme="majorEastAsia" w:cs="微软雅黑"/>
          <w:color w:val="000000"/>
          <w:sz w:val="28"/>
          <w:szCs w:val="28"/>
        </w:rPr>
      </w:pPr>
      <w:r w:rsidRPr="006A2FC4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稿酬所得、特许权使用费所得应预扣预缴税额=预扣预缴应纳税所得额×20%</w:t>
      </w:r>
    </w:p>
    <w:p w:rsidR="006A2FC4" w:rsidRDefault="006A2FC4" w:rsidP="006A2FC4">
      <w:pPr>
        <w:jc w:val="center"/>
        <w:rPr>
          <w:rFonts w:cs="Times New Roman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个人所得税预扣率表二</w:t>
      </w:r>
    </w:p>
    <w:p w:rsidR="006A2FC4" w:rsidRDefault="006A2FC4" w:rsidP="006A2FC4">
      <w:pPr>
        <w:shd w:val="clear" w:color="auto" w:fill="FFFFFF"/>
        <w:spacing w:line="0" w:lineRule="atLeast"/>
        <w:jc w:val="center"/>
        <w:rPr>
          <w:rFonts w:cs="Times New Roman"/>
        </w:rPr>
      </w:pPr>
      <w:r>
        <w:rPr>
          <w:rFonts w:ascii="楷体_GB2312" w:eastAsia="楷体_GB2312" w:hAnsi="黑体" w:cs="宋体" w:hint="eastAsia"/>
          <w:szCs w:val="21"/>
        </w:rPr>
        <w:t>（居民个人劳务报酬所得预扣预缴适用）</w:t>
      </w:r>
    </w:p>
    <w:tbl>
      <w:tblPr>
        <w:tblW w:w="0" w:type="auto"/>
        <w:jc w:val="center"/>
        <w:tblLayout w:type="fixed"/>
        <w:tblLook w:val="0000"/>
      </w:tblPr>
      <w:tblGrid>
        <w:gridCol w:w="900"/>
        <w:gridCol w:w="4623"/>
        <w:gridCol w:w="1440"/>
        <w:gridCol w:w="1949"/>
      </w:tblGrid>
      <w:tr w:rsidR="006A2FC4" w:rsidTr="00AC057F">
        <w:trPr>
          <w:trHeight w:val="4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4" w:rsidRDefault="006A2FC4" w:rsidP="00AC057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级数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FC4" w:rsidRDefault="006A2FC4" w:rsidP="00AC057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预扣预缴应纳税所得额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FC4" w:rsidRDefault="006A2FC4" w:rsidP="00AC057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预扣率（%）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FC4" w:rsidRDefault="006A2FC4" w:rsidP="00AC057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速算扣除数</w:t>
            </w:r>
          </w:p>
        </w:tc>
      </w:tr>
      <w:tr w:rsidR="006A2FC4" w:rsidTr="00AC057F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不超过20000元的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</w:tr>
      <w:tr w:rsidR="006A2FC4" w:rsidTr="00AC057F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超过20000元至50000元的部分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2000</w:t>
            </w:r>
          </w:p>
        </w:tc>
      </w:tr>
      <w:tr w:rsidR="006A2FC4" w:rsidTr="00AC057F">
        <w:trPr>
          <w:trHeight w:val="41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超过50000元的部分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C4" w:rsidRDefault="006A2FC4" w:rsidP="00AC057F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7000</w:t>
            </w:r>
          </w:p>
        </w:tc>
      </w:tr>
    </w:tbl>
    <w:p w:rsidR="006A2FC4" w:rsidRPr="006A2FC4" w:rsidRDefault="006A2FC4" w:rsidP="00595F9E">
      <w:pPr>
        <w:shd w:val="clear" w:color="auto" w:fill="FFFFFF"/>
        <w:spacing w:beforeLines="50" w:afterLines="100" w:line="360" w:lineRule="auto"/>
        <w:ind w:firstLineChars="200" w:firstLine="480"/>
        <w:rPr>
          <w:rFonts w:asciiTheme="majorEastAsia" w:eastAsiaTheme="majorEastAsia" w:hAnsiTheme="majorEastAsia" w:cs="宋体"/>
          <w:color w:val="FF0000"/>
          <w:sz w:val="24"/>
          <w:szCs w:val="24"/>
        </w:rPr>
      </w:pPr>
    </w:p>
    <w:sectPr w:rsidR="006A2FC4" w:rsidRPr="006A2F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F9" w:rsidRDefault="001A48F9" w:rsidP="00320568">
      <w:pPr>
        <w:spacing w:after="0"/>
      </w:pPr>
      <w:r>
        <w:separator/>
      </w:r>
    </w:p>
  </w:endnote>
  <w:endnote w:type="continuationSeparator" w:id="0">
    <w:p w:rsidR="001A48F9" w:rsidRDefault="001A48F9" w:rsidP="003205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F9" w:rsidRDefault="001A48F9" w:rsidP="00320568">
      <w:pPr>
        <w:spacing w:after="0"/>
      </w:pPr>
      <w:r>
        <w:separator/>
      </w:r>
    </w:p>
  </w:footnote>
  <w:footnote w:type="continuationSeparator" w:id="0">
    <w:p w:rsidR="001A48F9" w:rsidRDefault="001A48F9" w:rsidP="003205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6A4"/>
    <w:rsid w:val="00124693"/>
    <w:rsid w:val="001A48F9"/>
    <w:rsid w:val="00320568"/>
    <w:rsid w:val="00323B43"/>
    <w:rsid w:val="003D37D8"/>
    <w:rsid w:val="00426133"/>
    <w:rsid w:val="004358AB"/>
    <w:rsid w:val="00595F9E"/>
    <w:rsid w:val="00602F04"/>
    <w:rsid w:val="006377E7"/>
    <w:rsid w:val="00691A4A"/>
    <w:rsid w:val="006A2FC4"/>
    <w:rsid w:val="00785CE9"/>
    <w:rsid w:val="00852C35"/>
    <w:rsid w:val="008B7726"/>
    <w:rsid w:val="00936000"/>
    <w:rsid w:val="00937C0D"/>
    <w:rsid w:val="00960102"/>
    <w:rsid w:val="00A23694"/>
    <w:rsid w:val="00A54872"/>
    <w:rsid w:val="00AA74E5"/>
    <w:rsid w:val="00AE793E"/>
    <w:rsid w:val="00B06047"/>
    <w:rsid w:val="00C05B3F"/>
    <w:rsid w:val="00C73EA0"/>
    <w:rsid w:val="00CA6D11"/>
    <w:rsid w:val="00D31D50"/>
    <w:rsid w:val="00DF07B5"/>
    <w:rsid w:val="00E04A9B"/>
    <w:rsid w:val="00E81453"/>
    <w:rsid w:val="00EA425B"/>
    <w:rsid w:val="00ED35A6"/>
    <w:rsid w:val="00FC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5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5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5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5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2020-09-18T06:59:00Z</dcterms:modified>
</cp:coreProperties>
</file>